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BE" w:rsidRDefault="00015DBE" w:rsidP="001F0651">
      <w:pPr>
        <w:pStyle w:val="NormalWeb"/>
        <w:shd w:val="clear" w:color="auto" w:fill="FFFFFF"/>
        <w:spacing w:after="0" w:afterAutospacing="0"/>
        <w:jc w:val="center"/>
        <w:rPr>
          <w:rFonts w:ascii="yandex-sans" w:hAnsi="yandex-sans" w:cs="yandex-sans"/>
          <w:color w:val="000000"/>
          <w:sz w:val="18"/>
          <w:szCs w:val="18"/>
        </w:rPr>
      </w:pPr>
      <w:r>
        <w:rPr>
          <w:b/>
          <w:bCs/>
          <w:color w:val="0000FF"/>
          <w:sz w:val="40"/>
          <w:szCs w:val="40"/>
        </w:rPr>
        <w:t>Новое в законодательстве (февраль 2017 г.)</w:t>
      </w:r>
    </w:p>
    <w:p w:rsidR="00015DBE" w:rsidRDefault="00015DBE" w:rsidP="001F0651">
      <w:pPr>
        <w:pStyle w:val="NormalWeb"/>
        <w:shd w:val="clear" w:color="auto" w:fill="FFFFFF"/>
        <w:spacing w:after="0" w:afterAutospacing="0"/>
        <w:jc w:val="center"/>
        <w:rPr>
          <w:rFonts w:ascii="yandex-sans" w:hAnsi="yandex-sans" w:cs="yandex-sans"/>
          <w:color w:val="000000"/>
          <w:sz w:val="18"/>
          <w:szCs w:val="18"/>
        </w:rPr>
      </w:pPr>
      <w:bookmarkStart w:id="0" w:name="_GoBack"/>
      <w:bookmarkEnd w:id="0"/>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w:t>
      </w:r>
      <w:r w:rsidRPr="007669D6">
        <w:rPr>
          <w:rStyle w:val="apple-converted-space"/>
          <w:b/>
          <w:bCs/>
          <w:color w:val="000000"/>
          <w:sz w:val="28"/>
          <w:szCs w:val="28"/>
        </w:rPr>
        <w:t> </w:t>
      </w:r>
      <w:r w:rsidRPr="007669D6">
        <w:rPr>
          <w:color w:val="000000"/>
          <w:sz w:val="28"/>
          <w:szCs w:val="28"/>
        </w:rPr>
        <w:t>Федеральный закон от 7 февраля 2017 г. № 13-ФЗ «О внесении изменений в Кодекс Российской Федерации об административных правонарушениях»</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Поправки касаются административной ответственности за нарушение законодательства о персональных данных.</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Дифференцированы составы административных правонарушений в области персональных данных и увеличены размеры административных штрафов.</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Введены дополнительные составы административных правонарушений, предусматривающие ответственность за невыполнение оператором конкретных обязанностей, установленных законом. Например, за обработку персональных данных без письменного согласия субъекта этих данных (если такое согласие должно быть получено); невыполнение обязанности по предоставлению субъекту персональных данных информации, касающейся обработки его персональных данных; невыполнение требования о блокировании персональных данных.</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Полномочия по возбуждению дел об административных правонарушениях в области персональных данных переданы от прокуроров Роскомнадзору.</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Федеральный закон вступает в силу с 1 июля 2017 г.</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Федеральный закон от 22 февраля 2017 г. № 14-ФЗ «О признании утратившими силу отдельных положений законодательных актов Российской Федерации»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Принят закон, согласно которому бесплатная приватизация жилья бессрочно продлена для всех граждан России. Нормы, которые ограничивали ее срок, утратили силу.</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Федеральный закон вступает в силу со дня его официального опубликования.</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Федеральный закон от 22 февраля 2017 г. № 16-ФЗ «О внесении изменений в главу 5 Федерального закона «О персональных данных»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Скорректированы Законы о персональных данных и о защите прав юрлиц и ИП при осуществлении государственного контроля (надзора) и муниципального контроля.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Указано, что Роскомнадзор обеспечивает, организует и осуществляет государственный контроль и надзор за соответствием содержания обработки персональных данных и способов их обработки требованиям законодательства.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При этом порядок организации и проведения проверок операторов, являющихся юрлицами и ИП, а также порядок организации и осуществления государственного контроля и надзора за обработкой персональных данных иными операторами установит Правительство РФ.</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Поправки вступают в силу с 01.03.2017.</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Постановление Правительства РФ от 15 февраля 2017 г. № 187 «О внесении изменений в постановление Правительства Российской Федерации от 5 июля 2013 г. N 568»</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Законодательство содержит ряд ограничений, запретов и обязанностей, связанных с противодействием коррупции.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частности, работники ПФР, ФСС РФ, ФОМС, иных организаций, созданных на основании федеральных законов или для выполнения задач, поставленных перед федеральными госорганами, а также лица, претендующие на такие должности, не могут осуществлять совместную трудовую деятельность при наличии близкого родства или свойства (родители, супруги, дети, братья, сестры, а также братья, сестры, родители, дети супругов и супруги детей), если работа связана с непосредственной подчиненностью или подконтрольностью одного из них другому.</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Установлено, что указанный запрет не распространяется на работников ФГУ или ФГУПов (казенных предприятий), созданных для выполнения задач, стоящих перед федеральными госорганами, а также граждан, претендующих на такие должности.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При этом запрет предусмотрен для руководителей, главбухов и работников с финансово-хозяйственными полномочиями указанных учреждений и предприятий.</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Постановление Правительства РФ от 16 февраля 2017 г. № 197 «О внесении изменений в некоторые акты Правительства Российской Федерации»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перечень видов государственного контроля (надзора), осуществляемых с применением риск-ориентированного подхода, включен федеральный государственный надзор в сфере труда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будет проводиться в отношении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ведущих предпринимательскую деятельность без образования юридического лица.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Отнесение деятельности юридического лица или индивидуального предпринимателя к категориям риска осуществляется: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решением главного государственного инспектора труда РФ (его заместителя) - при отнесении к категории высокого риска;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решением главного государственного инспектора труда в субъекте РФ (его заместителя) - при отнесении к категориям значительного, среднего и умеренного риска.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Проведение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 осуществляется со следующей периодичностью:</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для категории высокого риска - один раз в 2 года;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для категории значительного риска - один раз в 3 года;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для категории среднего риска - не чаще чем один раз в 5 лет;</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для категории умеренного риска - не чаще чем один раз в 6 лет.</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отношении юридического лица или индивидуального предпринимателя, деятельность которых отнесена к категории низкого риска, плановые проверки не проводятся.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утвержденное постановлением Правительства РФ от 1 сентября 2012 г. N 875, дополнено новым приложением "Критерии отнесения деятельности юридических лиц и индивидуальных предпринимателей, являющихся работодателями, к определенной категории риска".</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Приказ Министерства труда и социальной защиты РФ от 14 ноября 2016 г. № 642н «О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Нормативные акты Минтруда России, посвященные проведению специальной оценки условий труда приведены в соответствие с действующим законодательством</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Федеральным законом от 01.05.2016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был уточнен порядок проведения специальной оценки условий труда. В связи с принятием указанного закона изменения вносятся в 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 Приказ Минтруда России от 07.02.2014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Приказ Минтруда России от 07.02.2014 N 80н "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Приказ Минтруда России от 05.12.2014 N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Приказ Минтруда России от 03.11.2015 N 843н "Об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частности, уточняется порядок проведения специальной оценки условий труда в отношении условий труда работников, допущенных к работе со сведениями, составляющими государственную или иную охраняемую законом тайну; устанавливается механизм учета предложений работников по осуществлению на их рабочих местах идентификации потенциально вредных и (или) опасных производственных факторов. Уточняется перечень действий, которые вправе осуществлять 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Приказом, кроме того, устанавливается, что 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 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закона от 26.06.2008 N 102-ФЗ "Об обеспечении единства измерений". 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работодателем подается декларация соответствия условий труда государственным нормативным требованиям охраны труда.</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Приказ Министерства труда и социальной защиты РФ от 21 декабря 2016 г. № 766н «Об утверждении Инструкции о порядке ведения индивидуального (персонифицированного) учета сведений о застрахованных лицах»</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Утвержденная Инструкция определяет порядок ведения ПФР индивидуального (персонифицированного) учета сведений о застрахованных лицах, детях, а также сведений о других категориях физических лиц для открытия индивидуального лицевого счета с целью предоставления государственных и муниципальных услуг, в том числе порядок:</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регистрации в системе обязательного пенсионного страхования;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представления и сроки приема и учета территориальными органами ПФР сведений о застрахованных лицах, необходимых для ведения индивидуального (персонифицированного) учета;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контроля за достоверностью сведений индивидуального (персонифицированного) учета;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хранения и уничтожения документов, содержащих сведения индивидуального (персонифицированного) учета.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Признан утратившим силу Приказ Минздравсоцразвития России от 14.12.2009 N 987н, регулирующий аналогичные правоотношения.</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Приказ Министерства труда и социальной защиты РФ от 10 января 2017 г. № 10н «Об утверждении профессионального стандарта «Специалист в области воспитания»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Утвержден профессиональный стандарт для специалиста в области воспитания.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Основной целью вида профессиональной деятельности данных специалистов является организация воспитательного процесса с целью духовно-нравственного, интеллектуального, физического развития и позитивной социализации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функции специалиста в области воспитания согласно профессиональному стандарту входит социально-педагогическая поддержка обучающихся в процессе социализации; организация деятельности детских общественных объединений в образовательной организации; организационно-педагогическое обеспечение воспитательного процесса; воспитательная работа с группой обучающихся; библиотечно-педагогическая деятельность в образовательной организации общего образования; тьюторское сопровождение обучающихся.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Стандартом устанавливаются требования к образованию и опыту работы, необходимые специалисту для выполнения каждой из этих функций.</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Приказ Министерства здравоохранения РФ от 23 августа 2016 г. № 625н «Об утверждении Порядка проведения экспертизы временной нетрудоспособности»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Закреплено, как проводится экспертиза временной нетрудоспособности.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Она организуется, чтобы определить способность гражданина осуществлять трудовую деятельность, установить необходимость и сроки временного или постоянного перевода физлица по состоянию здоровья на другую работу, а также для принятия решения о его направлении на медико-социальную экспертизу.</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Экспертиза временной нетрудоспособности проводится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Она осуществляется лечащим врачом, а в отдельных случаях - фельдшером, зубным врачом или врачебной комиссией. Экспертиза проводится в день обращения гражданина в медицинскую организацию.</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ходе экспертизы устанавливается диагноз заболевания и степень функциональных нарушений органов и систем, наличие осложнений и степень их тяжести на основании сбора анамнеза и жалоб, внешнего осмотра гражданина. Врач рекомендует прохождение профилактических, диагностических, лечебных и реабилитационных мероприятий, определяет режим лечения, назначает исследования и консультации врачей-специалистов. Он определяет сроки временной нетрудоспособности, ведет медицинскую документацию гражданина. Анализируются причины заболеваемости с временной утратой трудоспособности и первичного выхода на инвалидность, разрабатываются и реализуются мероприятия по их снижению.</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По результатам проведенной экспертизы в случае принятия решения о временной неспособности гражданина осуществлять трудовую деятельность ему выдается листок нетрудоспособности.</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Приказ Министерства внутренних дел РФ от 24 января 2017 г. № 26 «Об утверждении Порядка подачи образовательной организацией уведомления о завершении или прекращении обучения иностранного гражданина (лица без гражданства), обучавшегося по основной профессиональной образовательной программе, имеющей государственную аккредитацию, и формы указанного уведомления»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Образовательная организация в течение трех рабочих дней с даты отчисления иностранного гражданина обязана уведомить об этом территориальный орган МВД России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Определено, что уведомление представляется образовательной организацией непосредственно в подразделение по вопросам миграции территориального органа МВД России на региональном уровне с сопроводительным письмом или направляется заказным почтовым отправлением с уведомлением о вручении и описью вложения.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Признан не подлежащим применению Приказ ФМС России от 30.12.2013 N 707, которым был утвержден ранее действовавший порядок подачи такого уведомления.</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«ОК 009-2016. Общероссийский классификатор специальностей по образованию»</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 1 июля 2017 года вводится в действие Общероссийский классификатор специальностей по образованию ОК 009-2016</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Общероссийский классификатор специальностей по образованию (ОКСО) принят и введен в действие Приказом Росстандарта от 08.12.2016 N 2007-ст взамен ОК 009-2003, ОК 023-95.</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Классификатор предназначен для классификации и кодирования профессий, специальностей и направлений подготовки, используемых для реализации профессиональных образовательных программ среднего профессионального и высшего образования.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ОКСО используется при решении задач, связанных с:</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регламентацией приема, образовательной деятельности и выпуска по образовательным программам среднего профессионального и высшего образования;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определением прогнозной потребности в кадрах соответствующих квалификаций;</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регламентацией лицензирования и государственной аккредитации образовательной деятельности в области среднего профессионального и высшего образования;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регламентацией статистического учета в области среднего профессионального и высшего образования.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ОКСО включает в себя: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профессии среднего профессионального образования;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специальности среднего профессионального образования;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направления подготовки высшего образования - бакалавриата;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направления подготовки высшего образования - магистратуры;</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специальности высшего образования - специалитета;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направления подготовки высшего образования - подготовки кадров высшей квалификации по программам подготовки научно-педагогических кадров в аспирантуре;</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направления подготовки высшего образования - подготовки кадров высшей квалификации по программам подготовки научно-педагогических кадров в адъюнктуре;</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специальности высшего образования - подготовки кадров высшей квалификации по программам ординатуры;</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специальности высшего образования - подготовки кадров высшей квалификации по программам ассистентуры-стажировки.</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Постановление Правления Пенсионного Фонда РФ от 11 января 2017 г. № 3п «Об утверждении формы «Сведения о страховом стаже застрахованных лиц (СЗВ-СТАЖ)»‚ формы «Сведения по страхователю, передаваемые в ПФР для ведения индивидуального (персонифицированного) учета (ОДВ-1)»‚ формы «Данные о корректировке сведений, учтенных на индивидуальном лицевом счете застрахованного лица (СЗВ-КОРР)», формы «Сведения о заработке (вознаграждении), доходе, сумме выплат и иных вознаграждений, начисленных и уплаченных страховых взносах, о периодах трудовой и иной деятельности, засчитываемых в страховой стаж застрахованного лица (СЗВ-ИСХ)», порядка их заполнения и формата сведений»</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Утверждены новые формы представления в ПФР сведений для индивидуального (персонифицированного) учета.</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Это формы "Сведения о страховом стаже застрахованных лиц (СЗВ-СТАЖ)", "Сведения по страхователю, передаваемые в ПФР для ведения индивидуального (персонифицированного) учета (ОДВ-1)", "Данные о корректировке сведений, учтенных на индивидуальном лицевом счете застрахованного лица (СЗВ-КОРР)", "Сведения о заработке (вознаграждении), доходе, сумме выплат и иных вознаграждений, начисленных и уплаченных страховых взносах, о периодах трудовой и иной деятельности, засчитываемых в страховой стаж застрахованного лица (СЗВ-ИСХ)".</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Установлен порядок их заполнения. Приведен электронный формат представления названных сведений.</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Информация ФНС России «О порядке представления документов при реорганизации юридического лица в форме присоединения»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Чтобы реорганизовать компанию в форме присоединения, не нужно представлять в регистрирующий орган передаточный акт</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соответствии с Федеральным законом от 08.08.2001 N 129-ФЗ "О государственной регистрации юридических лиц и индивидуальных предпринимателей" среди документов, представляемых в регистрирующий орган при регистрации реорганизации в форме присоединения, называется передаточный акт. Вместе с тем, положения закона не должны противоречить положениям ГК РФ, которые не предусматривают составление передаточного акта при присоединении одного юридического лица к другому.</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Таким образом, отказ в госрегистрации юридического лица при реорганизации в форме присоединения из-за отсутствия передаточного акта признан ФНС России неправомерным.</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Информация Минтруда России «Ответы на вопросы по применению Федерального закона от 3 июля 2016 г. № 347-ФЗ «О внесении изменений в Трудовой кодекс Российской Федерации»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Сообщается о принятии Федерального закона от 03.07.2016 N 347-ФЗ "О внесении изменений в Трудовой кодекс Российской Федерации" об обязательности установления предельных размеров соотношений между среднемесячной заработной платой руководителей, их заместителей, главных бухгалтеров и среднемесячной заработной платой работников следующих организаций:</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государственных и муниципальных учреждений и унитарных предприятий (в том числе казенных);</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государственных внебюджетных фондов Российской Федерации;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территориальных фондов обязательного медицинского страхования.</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Даны ответы, в том числе, на следующие вопросы:</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Федеральном законе N 347-ФЗ речь идет только об окладах работников и руководителей или должен будет учитываться общий доход тех и других (премии, бонусы и т.п.)?</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какие организации не попадают под действие Федерального закона N 347-ФЗ?</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какова должна быть предельная разница между среднемесячной заработной платой руководителя и среднемесячной заработной платой работников соответствующих организаций?</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кто осуществляет контроль за исполнением Федерального закона N 347-ФЗ в части соблюдения установленного предельного соотношения среднемесячной заработной платы руководителей и работников?</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 Информация Пенсионного фонда России от 2 февраля 2017 г. «Пенсионный фонд запустил электронный сервис по распоряжению набором социальных услуг»</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Сообщается, что на сайте ПФР для 20 регионов открыт новый сервис, позволяющий подавать электронное заявление о том, в каком виде (натуральном или денежном) человек хотел бы получать набор социальных услуг (НСУ).</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список входят Адыгея, Бурятия, Мордовия, Татарстан, Удмуртия, Ставропольский край, Белгородская, Волгоградская, Воронежская, Иркутская, Кемеровская, Курская, Нижегородская, Пензенская, Оренбургская, Орловская, Ростовская, Рязанская, Самарская, Саратовская области.</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В ближайшие месяцы данная услуга будет доступна во всех регионах.</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НСУ предоставляется всем получателям ежемесячной денежной выплаты (ЕДВ) и предусматривает лечебные препараты, медицинские изделия, путевку на санаторно-курортное лечение, а также бесплатный проезд к месту лечения. От услуг можно отказаться в пользу денежного эквивалента, максимальный размер которого с 01.02.2017 составляет 1048,97 руб. в месяц.</w:t>
      </w:r>
    </w:p>
    <w:p w:rsidR="00015DBE" w:rsidRPr="007669D6" w:rsidRDefault="00015DBE" w:rsidP="001F0651">
      <w:pPr>
        <w:pStyle w:val="NormalWeb"/>
        <w:shd w:val="clear" w:color="auto" w:fill="FFFFFF"/>
        <w:spacing w:after="0" w:afterAutospacing="0"/>
        <w:rPr>
          <w:color w:val="000000"/>
          <w:sz w:val="28"/>
          <w:szCs w:val="28"/>
        </w:rPr>
      </w:pPr>
      <w:r w:rsidRPr="007669D6">
        <w:rPr>
          <w:b/>
          <w:bCs/>
          <w:color w:val="000000"/>
          <w:sz w:val="28"/>
          <w:szCs w:val="28"/>
        </w:rPr>
        <w:t>Напомним, что ранее вариант предоставления НСУ можно было изменить раз в год только путем подачи до 1 октября заявления в территориальные управления и клиентские службы ПФР или МФЦ. С запуском нового электронного сервиса в Личном кабинете гражданина изменить вариант получения НСУ стало возможным еще и через Интернет.</w:t>
      </w: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w:t>
      </w:r>
      <w:r w:rsidRPr="007669D6">
        <w:rPr>
          <w:rStyle w:val="apple-converted-space"/>
          <w:color w:val="000000"/>
          <w:sz w:val="28"/>
          <w:szCs w:val="28"/>
        </w:rPr>
        <w:t> </w:t>
      </w:r>
      <w:r w:rsidRPr="007669D6">
        <w:rPr>
          <w:b/>
          <w:bCs/>
          <w:i/>
          <w:iCs/>
          <w:color w:val="000000"/>
          <w:sz w:val="28"/>
          <w:szCs w:val="28"/>
        </w:rPr>
        <w:t>На страничке Министерства образования и науки РФ в Интернете в феврале 2017 года были размещены следующие документы</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Проект постановления Правительства Российской Федерации «Об утверждении государственной программы Российской Федерации «Развитие образования» на 2013-2020 годы»</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Положение о Всероссийском конкурсе юных инспекторов движения «Безопасное колесо» 2017 г.</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Правила проведения финала Всероссийского конкурса юных инспекторов движения «Безопасное колесо» 2017 г.</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Приказ Минобрнауки России № 162 от 17.02.2017 г. «Об утверждении качественных и количественных показателей эффективности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w:t>
      </w:r>
    </w:p>
    <w:p w:rsidR="00015DBE" w:rsidRPr="007669D6" w:rsidRDefault="00015DBE" w:rsidP="001F0651">
      <w:pPr>
        <w:pStyle w:val="NormalWeb"/>
        <w:shd w:val="clear" w:color="auto" w:fill="FFFFFF"/>
        <w:spacing w:after="0" w:afterAutospacing="0"/>
        <w:rPr>
          <w:color w:val="000000"/>
          <w:sz w:val="28"/>
          <w:szCs w:val="28"/>
        </w:rPr>
      </w:pPr>
    </w:p>
    <w:p w:rsidR="00015DBE" w:rsidRPr="007669D6" w:rsidRDefault="00015DBE" w:rsidP="001F0651">
      <w:pPr>
        <w:pStyle w:val="NormalWeb"/>
        <w:shd w:val="clear" w:color="auto" w:fill="FFFFFF"/>
        <w:spacing w:after="0" w:afterAutospacing="0"/>
        <w:rPr>
          <w:color w:val="000000"/>
          <w:sz w:val="28"/>
          <w:szCs w:val="28"/>
        </w:rPr>
      </w:pPr>
      <w:r w:rsidRPr="007669D6">
        <w:rPr>
          <w:color w:val="000000"/>
          <w:sz w:val="28"/>
          <w:szCs w:val="28"/>
        </w:rPr>
        <w:t>Положение о порядке проведения конкурсного отбора федеральных государственных образовательных организаций высшего образования на финансовое обеспечение программ развития федеральных государственных образовательных организаций высшего образования за счет средств федерального</w:t>
      </w:r>
      <w:r w:rsidRPr="007669D6">
        <w:rPr>
          <w:rStyle w:val="apple-converted-space"/>
          <w:color w:val="000000"/>
          <w:sz w:val="28"/>
          <w:szCs w:val="28"/>
        </w:rPr>
        <w:t> бюджета</w:t>
      </w:r>
    </w:p>
    <w:p w:rsidR="00015DBE" w:rsidRPr="007669D6" w:rsidRDefault="00015DBE">
      <w:pPr>
        <w:rPr>
          <w:rFonts w:ascii="Times New Roman" w:hAnsi="Times New Roman" w:cs="Times New Roman"/>
          <w:sz w:val="28"/>
          <w:szCs w:val="28"/>
        </w:rPr>
      </w:pPr>
    </w:p>
    <w:sectPr w:rsidR="00015DBE" w:rsidRPr="007669D6" w:rsidSect="00B96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651"/>
    <w:rsid w:val="00015DBE"/>
    <w:rsid w:val="001D02AA"/>
    <w:rsid w:val="001F0651"/>
    <w:rsid w:val="007669D6"/>
    <w:rsid w:val="00B95FFB"/>
    <w:rsid w:val="00B967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F0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1F0651"/>
  </w:style>
</w:styles>
</file>

<file path=word/webSettings.xml><?xml version="1.0" encoding="utf-8"?>
<w:webSettings xmlns:r="http://schemas.openxmlformats.org/officeDocument/2006/relationships" xmlns:w="http://schemas.openxmlformats.org/wordprocessingml/2006/main">
  <w:divs>
    <w:div w:id="1182278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3407</Words>
  <Characters>19420</Characters>
  <Application>Microsoft Office Outlook</Application>
  <DocSecurity>0</DocSecurity>
  <Lines>0</Lines>
  <Paragraphs>0</Paragraphs>
  <ScaleCrop>false</ScaleCrop>
  <Company>Doal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2017-04-06T07:24:00Z</dcterms:created>
  <dcterms:modified xsi:type="dcterms:W3CDTF">2017-04-06T07:39:00Z</dcterms:modified>
</cp:coreProperties>
</file>